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02FDD" w14:textId="641840BE" w:rsidR="001523E1" w:rsidRDefault="006727CF">
      <w:pPr>
        <w:rPr>
          <w:rStyle w:val="Hyperlink"/>
        </w:rPr>
      </w:pPr>
      <w:r>
        <w:rPr>
          <w:noProof/>
        </w:rPr>
        <mc:AlternateContent>
          <mc:Choice Requires="wps">
            <w:drawing>
              <wp:anchor distT="0" distB="0" distL="114300" distR="114300" simplePos="0" relativeHeight="251659264" behindDoc="0" locked="0" layoutInCell="1" allowOverlap="1" wp14:anchorId="58DAAD75" wp14:editId="721DA904">
                <wp:simplePos x="0" y="0"/>
                <wp:positionH relativeFrom="margin">
                  <wp:posOffset>936567</wp:posOffset>
                </wp:positionH>
                <wp:positionV relativeFrom="paragraph">
                  <wp:posOffset>199506</wp:posOffset>
                </wp:positionV>
                <wp:extent cx="5824451" cy="820190"/>
                <wp:effectExtent l="0" t="0" r="5080" b="0"/>
                <wp:wrapNone/>
                <wp:docPr id="5" name="Text Box 5"/>
                <wp:cNvGraphicFramePr/>
                <a:graphic xmlns:a="http://schemas.openxmlformats.org/drawingml/2006/main">
                  <a:graphicData uri="http://schemas.microsoft.com/office/word/2010/wordprocessingShape">
                    <wps:wsp>
                      <wps:cNvSpPr txBox="1"/>
                      <wps:spPr>
                        <a:xfrm>
                          <a:off x="0" y="0"/>
                          <a:ext cx="5824451" cy="820190"/>
                        </a:xfrm>
                        <a:prstGeom prst="rect">
                          <a:avLst/>
                        </a:prstGeom>
                        <a:solidFill>
                          <a:sysClr val="window" lastClr="FFFFFF"/>
                        </a:solidFill>
                        <a:ln w="6350">
                          <a:noFill/>
                        </a:ln>
                        <a:effectLst/>
                      </wps:spPr>
                      <wps:txbx>
                        <w:txbxContent>
                          <w:p w14:paraId="111575DD" w14:textId="77777777" w:rsidR="006727CF" w:rsidRPr="00320D15" w:rsidRDefault="006727CF" w:rsidP="006727CF">
                            <w:pPr>
                              <w:rPr>
                                <w:rFonts w:ascii="Print Clearly" w:hAnsi="Print Clearly"/>
                                <w:b/>
                              </w:rPr>
                            </w:pPr>
                            <w:r w:rsidRPr="00320D15">
                              <w:rPr>
                                <w:rFonts w:ascii="Print Clearly" w:hAnsi="Print Clearly"/>
                                <w:b/>
                              </w:rPr>
                              <w:t>Seamark School     3631 Seamark Ranch Road      Green Cove Springs, FL   34043</w:t>
                            </w:r>
                          </w:p>
                          <w:p w14:paraId="7F575B26" w14:textId="77777777" w:rsidR="006727CF" w:rsidRDefault="006727CF" w:rsidP="006727CF">
                            <w:pPr>
                              <w:jc w:val="center"/>
                              <w:rPr>
                                <w:rFonts w:ascii="Print Clearly" w:hAnsi="Print Clearly"/>
                                <w:b/>
                              </w:rPr>
                            </w:pPr>
                            <w:r w:rsidRPr="00320D15">
                              <w:rPr>
                                <w:rFonts w:ascii="Print Clearly" w:hAnsi="Print Clearly"/>
                                <w:b/>
                              </w:rPr>
                              <w:t>(904) 529-1951      fax: (904)529-1953</w:t>
                            </w:r>
                          </w:p>
                          <w:p w14:paraId="5550C607" w14:textId="77777777" w:rsidR="006727CF" w:rsidRDefault="006727CF" w:rsidP="006727CF">
                            <w:pPr>
                              <w:rPr>
                                <w:rFonts w:ascii="Print Clearly" w:hAnsi="Print Clearly"/>
                                <w:b/>
                              </w:rPr>
                            </w:pPr>
                            <w:r>
                              <w:rPr>
                                <w:rFonts w:ascii="Print Clearly" w:hAnsi="Print Clearly"/>
                                <w:b/>
                              </w:rPr>
                              <w:t xml:space="preserve">Renee’ Pleasant, Director of Education    </w:t>
                            </w:r>
                            <w:hyperlink r:id="rId5" w:history="1">
                              <w:r w:rsidRPr="00CF0B39">
                                <w:rPr>
                                  <w:rStyle w:val="Hyperlink"/>
                                  <w:rFonts w:ascii="Print Clearly" w:hAnsi="Print Clearly"/>
                                  <w:b/>
                                </w:rPr>
                                <w:t>Renee@Seamarkranch.com</w:t>
                              </w:r>
                            </w:hyperlink>
                            <w:r>
                              <w:rPr>
                                <w:rFonts w:ascii="Print Clearly" w:hAnsi="Print Clearly"/>
                                <w:b/>
                              </w:rPr>
                              <w:t xml:space="preserve">    http:seamarkschool.weebly.com </w:t>
                            </w:r>
                          </w:p>
                          <w:p w14:paraId="16C9D2E3" w14:textId="77777777" w:rsidR="006727CF" w:rsidRPr="00320D15" w:rsidRDefault="006727CF" w:rsidP="006727CF">
                            <w:pPr>
                              <w:rPr>
                                <w:rFonts w:ascii="Print Clearly" w:hAnsi="Print Clearly"/>
                                <w:b/>
                              </w:rPr>
                            </w:pPr>
                            <w:r>
                              <w:rPr>
                                <w:rFonts w:ascii="Print Clearly" w:hAnsi="Print Clearly"/>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DAAD75" id="_x0000_t202" coordsize="21600,21600" o:spt="202" path="m,l,21600r21600,l21600,xe">
                <v:stroke joinstyle="miter"/>
                <v:path gradientshapeok="t" o:connecttype="rect"/>
              </v:shapetype>
              <v:shape id="Text Box 5" o:spid="_x0000_s1026" type="#_x0000_t202" style="position:absolute;margin-left:73.75pt;margin-top:15.7pt;width:458.6pt;height:64.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" fillcolor="window" stroked="f" strokeweight=".5pt">
                <v:textbox>
                  <w:txbxContent>
                    <w:p w14:paraId="111575DD" w14:textId="77777777" w:rsidR="006727CF" w:rsidRPr="00320D15" w:rsidRDefault="006727CF" w:rsidP="006727CF">
                      <w:pPr>
                        <w:rPr>
                          <w:rFonts w:ascii="Print Clearly" w:hAnsi="Print Clearly"/>
                          <w:b/>
                        </w:rPr>
                      </w:pPr>
                      <w:r w:rsidRPr="00320D15">
                        <w:rPr>
                          <w:rFonts w:ascii="Print Clearly" w:hAnsi="Print Clearly"/>
                          <w:b/>
                        </w:rPr>
                        <w:t>Seamark School     3631 Seamark Ranch Road      Green Cove Springs, FL   34043</w:t>
                      </w:r>
                    </w:p>
                    <w:p w14:paraId="7F575B26" w14:textId="77777777" w:rsidR="006727CF" w:rsidRDefault="006727CF" w:rsidP="006727CF">
                      <w:pPr>
                        <w:jc w:val="center"/>
                        <w:rPr>
                          <w:rFonts w:ascii="Print Clearly" w:hAnsi="Print Clearly"/>
                          <w:b/>
                        </w:rPr>
                      </w:pPr>
                      <w:r w:rsidRPr="00320D15">
                        <w:rPr>
                          <w:rFonts w:ascii="Print Clearly" w:hAnsi="Print Clearly"/>
                          <w:b/>
                        </w:rPr>
                        <w:t>(904) 529-1951      fax: (904)529-1953</w:t>
                      </w:r>
                    </w:p>
                    <w:p w14:paraId="5550C607" w14:textId="77777777" w:rsidR="006727CF" w:rsidRDefault="006727CF" w:rsidP="006727CF">
                      <w:pPr>
                        <w:rPr>
                          <w:rFonts w:ascii="Print Clearly" w:hAnsi="Print Clearly"/>
                          <w:b/>
                        </w:rPr>
                      </w:pPr>
                      <w:r>
                        <w:rPr>
                          <w:rFonts w:ascii="Print Clearly" w:hAnsi="Print Clearly"/>
                          <w:b/>
                        </w:rPr>
                        <w:t xml:space="preserve">Renee’ Pleasant, Director of Education    </w:t>
                      </w:r>
                      <w:hyperlink r:id="rId6" w:history="1">
                        <w:r w:rsidRPr="00CF0B39">
                          <w:rPr>
                            <w:rStyle w:val="Hyperlink"/>
                            <w:rFonts w:ascii="Print Clearly" w:hAnsi="Print Clearly"/>
                            <w:b/>
                          </w:rPr>
                          <w:t>Renee@Seamarkranch.com</w:t>
                        </w:r>
                      </w:hyperlink>
                      <w:r>
                        <w:rPr>
                          <w:rFonts w:ascii="Print Clearly" w:hAnsi="Print Clearly"/>
                          <w:b/>
                        </w:rPr>
                        <w:t xml:space="preserve">    http:seamarkschool.weebly.com </w:t>
                      </w:r>
                    </w:p>
                    <w:p w14:paraId="16C9D2E3" w14:textId="77777777" w:rsidR="006727CF" w:rsidRPr="00320D15" w:rsidRDefault="006727CF" w:rsidP="006727CF">
                      <w:pPr>
                        <w:rPr>
                          <w:rFonts w:ascii="Print Clearly" w:hAnsi="Print Clearly"/>
                          <w:b/>
                        </w:rPr>
                      </w:pPr>
                      <w:r>
                        <w:rPr>
                          <w:rFonts w:ascii="Print Clearly" w:hAnsi="Print Clearly"/>
                          <w:b/>
                        </w:rPr>
                        <w:t xml:space="preserve"> </w:t>
                      </w:r>
                    </w:p>
                  </w:txbxContent>
                </v:textbox>
                <w10:wrap anchorx="margin"/>
              </v:shape>
            </w:pict>
          </mc:Fallback>
        </mc:AlternateContent>
      </w:r>
      <w:r>
        <w:rPr>
          <w:noProof/>
        </w:rPr>
        <w:drawing>
          <wp:inline distT="0" distB="0" distL="0" distR="0" wp14:anchorId="33C97D49" wp14:editId="11789B68">
            <wp:extent cx="1025236" cy="10252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mark Scho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0197" cy="1030197"/>
                    </a:xfrm>
                    <a:prstGeom prst="rect">
                      <a:avLst/>
                    </a:prstGeom>
                  </pic:spPr>
                </pic:pic>
              </a:graphicData>
            </a:graphic>
          </wp:inline>
        </w:drawing>
      </w:r>
    </w:p>
    <w:p w14:paraId="3D857EC9" w14:textId="77777777" w:rsidR="004A1170" w:rsidRDefault="004A1170">
      <w:pPr>
        <w:rPr>
          <w:rStyle w:val="Hyperlink"/>
        </w:rPr>
      </w:pPr>
    </w:p>
    <w:p w14:paraId="7E4915F3" w14:textId="32780787" w:rsidR="004A1170" w:rsidRDefault="004A1170" w:rsidP="004A1170">
      <w:pPr>
        <w:jc w:val="center"/>
        <w:rPr>
          <w:rStyle w:val="Hyperlink"/>
          <w:color w:val="auto"/>
          <w:sz w:val="32"/>
          <w:szCs w:val="32"/>
          <w:u w:val="none"/>
        </w:rPr>
      </w:pPr>
      <w:r w:rsidRPr="004A1170">
        <w:rPr>
          <w:rStyle w:val="Hyperlink"/>
          <w:color w:val="auto"/>
          <w:sz w:val="32"/>
          <w:szCs w:val="32"/>
          <w:u w:val="none"/>
        </w:rPr>
        <w:t>201</w:t>
      </w:r>
      <w:r w:rsidR="006727CF">
        <w:rPr>
          <w:rStyle w:val="Hyperlink"/>
          <w:color w:val="auto"/>
          <w:sz w:val="32"/>
          <w:szCs w:val="32"/>
          <w:u w:val="none"/>
        </w:rPr>
        <w:t>5</w:t>
      </w:r>
      <w:r w:rsidRPr="004A1170">
        <w:rPr>
          <w:rStyle w:val="Hyperlink"/>
          <w:color w:val="auto"/>
          <w:sz w:val="32"/>
          <w:szCs w:val="32"/>
          <w:u w:val="none"/>
        </w:rPr>
        <w:t>-1</w:t>
      </w:r>
      <w:r w:rsidR="006727CF">
        <w:rPr>
          <w:rStyle w:val="Hyperlink"/>
          <w:color w:val="auto"/>
          <w:sz w:val="32"/>
          <w:szCs w:val="32"/>
          <w:u w:val="none"/>
        </w:rPr>
        <w:t>6</w:t>
      </w:r>
      <w:r w:rsidRPr="004A1170">
        <w:rPr>
          <w:rStyle w:val="Hyperlink"/>
          <w:color w:val="auto"/>
          <w:sz w:val="32"/>
          <w:szCs w:val="32"/>
          <w:u w:val="none"/>
        </w:rPr>
        <w:t xml:space="preserve"> Tuition and Fee Schedule</w:t>
      </w:r>
      <w:bookmarkStart w:id="0" w:name="_GoBack"/>
      <w:bookmarkEnd w:id="0"/>
    </w:p>
    <w:p w14:paraId="756A75FF" w14:textId="672756F1" w:rsidR="004A1170" w:rsidRDefault="004A1170" w:rsidP="004A1170">
      <w:pPr>
        <w:jc w:val="center"/>
        <w:rPr>
          <w:i/>
          <w:sz w:val="20"/>
          <w:szCs w:val="20"/>
        </w:rPr>
      </w:pPr>
      <w:r>
        <w:rPr>
          <w:i/>
          <w:sz w:val="20"/>
          <w:szCs w:val="20"/>
        </w:rPr>
        <w:t>Seamark Ranch School only accepts full-time students. All fees are non-refundable.</w:t>
      </w:r>
    </w:p>
    <w:tbl>
      <w:tblPr>
        <w:tblStyle w:val="TableGrid"/>
        <w:tblW w:w="0" w:type="auto"/>
        <w:jc w:val="center"/>
        <w:tblLook w:val="04A0" w:firstRow="1" w:lastRow="0" w:firstColumn="1" w:lastColumn="0" w:noHBand="0" w:noVBand="1"/>
      </w:tblPr>
      <w:tblGrid>
        <w:gridCol w:w="2071"/>
        <w:gridCol w:w="2071"/>
        <w:gridCol w:w="2072"/>
        <w:gridCol w:w="1107"/>
      </w:tblGrid>
      <w:tr w:rsidR="00A23D92" w14:paraId="439CB65B" w14:textId="77777777" w:rsidTr="00A23D92">
        <w:trPr>
          <w:jc w:val="center"/>
        </w:trPr>
        <w:tc>
          <w:tcPr>
            <w:tcW w:w="2071" w:type="dxa"/>
          </w:tcPr>
          <w:p w14:paraId="2174C2BE" w14:textId="19021AE1" w:rsidR="00A23D92" w:rsidRDefault="00A23D92" w:rsidP="004A1170">
            <w:r>
              <w:t>Grade Level</w:t>
            </w:r>
          </w:p>
        </w:tc>
        <w:tc>
          <w:tcPr>
            <w:tcW w:w="2071" w:type="dxa"/>
          </w:tcPr>
          <w:p w14:paraId="175FBC3B" w14:textId="7475BB1B" w:rsidR="00A23D92" w:rsidRDefault="00A23D92" w:rsidP="004A1170">
            <w:r>
              <w:t>Registration</w:t>
            </w:r>
          </w:p>
        </w:tc>
        <w:tc>
          <w:tcPr>
            <w:tcW w:w="2072" w:type="dxa"/>
          </w:tcPr>
          <w:p w14:paraId="731EBBAA" w14:textId="58B09D5C" w:rsidR="00A23D92" w:rsidRDefault="00A23D92" w:rsidP="004A1170">
            <w:r>
              <w:t>Tuition</w:t>
            </w:r>
          </w:p>
        </w:tc>
        <w:tc>
          <w:tcPr>
            <w:tcW w:w="1107" w:type="dxa"/>
          </w:tcPr>
          <w:p w14:paraId="7D1256E6" w14:textId="0A91B9AD" w:rsidR="00A23D92" w:rsidRDefault="00A23D92" w:rsidP="004A1170">
            <w:r>
              <w:t>Total</w:t>
            </w:r>
          </w:p>
        </w:tc>
      </w:tr>
      <w:tr w:rsidR="00A23D92" w14:paraId="1C205BED" w14:textId="77777777" w:rsidTr="00A23D92">
        <w:trPr>
          <w:jc w:val="center"/>
        </w:trPr>
        <w:tc>
          <w:tcPr>
            <w:tcW w:w="2071" w:type="dxa"/>
          </w:tcPr>
          <w:p w14:paraId="0254A684" w14:textId="264F7253" w:rsidR="00A23D92" w:rsidRDefault="00A23D92" w:rsidP="004A1170"/>
        </w:tc>
        <w:tc>
          <w:tcPr>
            <w:tcW w:w="2071" w:type="dxa"/>
          </w:tcPr>
          <w:p w14:paraId="0484C503" w14:textId="0CEAFEEA" w:rsidR="00A23D92" w:rsidRDefault="00A23D92" w:rsidP="003B6709">
            <w:r>
              <w:t xml:space="preserve"> </w:t>
            </w:r>
            <w:r w:rsidR="003B6709">
              <w:t>No fee for students who ended 2014-15 at Seamark school.</w:t>
            </w:r>
          </w:p>
        </w:tc>
        <w:tc>
          <w:tcPr>
            <w:tcW w:w="2072" w:type="dxa"/>
          </w:tcPr>
          <w:p w14:paraId="6FA499AF" w14:textId="4C979AB9" w:rsidR="00A23D92" w:rsidRDefault="00A23D92" w:rsidP="00A23D92">
            <w:r>
              <w:t>Due: On or before the first of the month. Late fees incur after the 5</w:t>
            </w:r>
            <w:r w:rsidRPr="00A23D92">
              <w:rPr>
                <w:vertAlign w:val="superscript"/>
              </w:rPr>
              <w:t>th</w:t>
            </w:r>
            <w:r>
              <w:t xml:space="preserve"> of the month.</w:t>
            </w:r>
          </w:p>
        </w:tc>
        <w:tc>
          <w:tcPr>
            <w:tcW w:w="1107" w:type="dxa"/>
          </w:tcPr>
          <w:p w14:paraId="18A8BB26" w14:textId="77777777" w:rsidR="00A23D92" w:rsidRDefault="00A23D92" w:rsidP="004A1170"/>
        </w:tc>
      </w:tr>
      <w:tr w:rsidR="00A23D92" w14:paraId="3583B6A1" w14:textId="77777777" w:rsidTr="00A23D92">
        <w:trPr>
          <w:jc w:val="center"/>
        </w:trPr>
        <w:tc>
          <w:tcPr>
            <w:tcW w:w="2071" w:type="dxa"/>
          </w:tcPr>
          <w:p w14:paraId="6E0CA430" w14:textId="122E70F6" w:rsidR="00A23D92" w:rsidRDefault="00A23D92" w:rsidP="004A1170">
            <w:r>
              <w:t>K - 12</w:t>
            </w:r>
          </w:p>
        </w:tc>
        <w:tc>
          <w:tcPr>
            <w:tcW w:w="2071" w:type="dxa"/>
          </w:tcPr>
          <w:p w14:paraId="43B257C2" w14:textId="77777777" w:rsidR="003B6709" w:rsidRDefault="00A23D92" w:rsidP="003B6709">
            <w:r>
              <w:t>$100.00</w:t>
            </w:r>
            <w:r w:rsidR="003B6709">
              <w:t xml:space="preserve"> </w:t>
            </w:r>
            <w:r w:rsidR="003B6709">
              <w:t>Due:</w:t>
            </w:r>
          </w:p>
          <w:p w14:paraId="7603AB30" w14:textId="2BDD95A1" w:rsidR="00A23D92" w:rsidRDefault="003B6709" w:rsidP="003B6709">
            <w:r>
              <w:t>July 15, 2014</w:t>
            </w:r>
          </w:p>
        </w:tc>
        <w:tc>
          <w:tcPr>
            <w:tcW w:w="2072" w:type="dxa"/>
          </w:tcPr>
          <w:p w14:paraId="61FE8B0D" w14:textId="712F9F03" w:rsidR="00A23D92" w:rsidRDefault="00A23D92" w:rsidP="004A1170">
            <w:r>
              <w:t>$5,650.00 which can be broken into 10 payments of $565 each.</w:t>
            </w:r>
          </w:p>
        </w:tc>
        <w:tc>
          <w:tcPr>
            <w:tcW w:w="1107" w:type="dxa"/>
          </w:tcPr>
          <w:p w14:paraId="7D2953E0" w14:textId="134191C4" w:rsidR="00A23D92" w:rsidRDefault="00A23D92" w:rsidP="00A23D92">
            <w:r>
              <w:t>$5,750.00</w:t>
            </w:r>
          </w:p>
        </w:tc>
      </w:tr>
    </w:tbl>
    <w:p w14:paraId="76304A1A" w14:textId="77777777" w:rsidR="004A1170" w:rsidRDefault="004A1170" w:rsidP="004A1170"/>
    <w:p w14:paraId="59C6DA2B" w14:textId="77777777" w:rsidR="004A1170" w:rsidRDefault="004A1170" w:rsidP="004A1170"/>
    <w:p w14:paraId="0961360A" w14:textId="353CFF33" w:rsidR="004A1170" w:rsidRPr="004A1170" w:rsidRDefault="004A1170" w:rsidP="004A1170">
      <w:pPr>
        <w:rPr>
          <w:sz w:val="28"/>
          <w:szCs w:val="28"/>
        </w:rPr>
      </w:pPr>
      <w:r w:rsidRPr="004A1170">
        <w:rPr>
          <w:sz w:val="28"/>
          <w:szCs w:val="28"/>
        </w:rPr>
        <w:t>Registration Fee:</w:t>
      </w:r>
      <w:r w:rsidRPr="004A1170">
        <w:rPr>
          <w:sz w:val="28"/>
          <w:szCs w:val="28"/>
        </w:rPr>
        <w:tab/>
      </w:r>
    </w:p>
    <w:p w14:paraId="001719E1" w14:textId="13721C5F" w:rsidR="004A1170" w:rsidRPr="004A1170" w:rsidRDefault="004A1170" w:rsidP="004A1170">
      <w:pPr>
        <w:ind w:left="720"/>
        <w:rPr>
          <w:sz w:val="24"/>
          <w:szCs w:val="24"/>
        </w:rPr>
      </w:pPr>
      <w:r w:rsidRPr="004A1170">
        <w:rPr>
          <w:sz w:val="24"/>
          <w:szCs w:val="24"/>
        </w:rPr>
        <w:t>Payable at the time of registration, this fee is refundable ONLY if the applicant is not accepted by the school. Students entering the school later in the year, are responsible for 100% of the fee. No place will be held for a student without receiving the registration fee.</w:t>
      </w:r>
    </w:p>
    <w:p w14:paraId="4DE21A98" w14:textId="37C3E76E" w:rsidR="004A1170" w:rsidRPr="004A1170" w:rsidRDefault="004A1170" w:rsidP="004A1170">
      <w:pPr>
        <w:rPr>
          <w:sz w:val="24"/>
          <w:szCs w:val="24"/>
        </w:rPr>
      </w:pPr>
      <w:r w:rsidRPr="004A1170">
        <w:rPr>
          <w:sz w:val="24"/>
          <w:szCs w:val="24"/>
        </w:rPr>
        <w:tab/>
        <w:t>Registration fee for returning students is due by July 15, 201</w:t>
      </w:r>
      <w:r w:rsidR="00A23D92">
        <w:rPr>
          <w:sz w:val="24"/>
          <w:szCs w:val="24"/>
        </w:rPr>
        <w:t>5</w:t>
      </w:r>
      <w:r w:rsidRPr="004A1170">
        <w:rPr>
          <w:sz w:val="24"/>
          <w:szCs w:val="24"/>
        </w:rPr>
        <w:t>.</w:t>
      </w:r>
    </w:p>
    <w:p w14:paraId="05C02899" w14:textId="7CC833C6" w:rsidR="004A1170" w:rsidRDefault="004A1170" w:rsidP="004A1170">
      <w:pPr>
        <w:rPr>
          <w:sz w:val="28"/>
          <w:szCs w:val="28"/>
        </w:rPr>
      </w:pPr>
      <w:r w:rsidRPr="004A1170">
        <w:rPr>
          <w:sz w:val="28"/>
          <w:szCs w:val="28"/>
        </w:rPr>
        <w:t>Tuition Fee:</w:t>
      </w:r>
    </w:p>
    <w:p w14:paraId="047E4FCE" w14:textId="5800E897" w:rsidR="004A1170" w:rsidRDefault="004A1170" w:rsidP="004A1170">
      <w:pPr>
        <w:ind w:left="720"/>
        <w:rPr>
          <w:sz w:val="24"/>
          <w:szCs w:val="24"/>
        </w:rPr>
      </w:pPr>
      <w:r>
        <w:rPr>
          <w:sz w:val="24"/>
          <w:szCs w:val="24"/>
        </w:rPr>
        <w:t>Tuition is payable on or before the first of the month, and is due in 10 equal installments, August through May. There will be no refund of tuition payments. If unpaid by the 5</w:t>
      </w:r>
      <w:r w:rsidRPr="004A1170">
        <w:rPr>
          <w:sz w:val="24"/>
          <w:szCs w:val="24"/>
          <w:vertAlign w:val="superscript"/>
        </w:rPr>
        <w:t>th</w:t>
      </w:r>
      <w:r>
        <w:rPr>
          <w:sz w:val="24"/>
          <w:szCs w:val="24"/>
        </w:rPr>
        <w:t xml:space="preserve"> of the month, a $10.00 late fee will be charged. An additional $15.00 will be assessed if not paid by the 10</w:t>
      </w:r>
      <w:r w:rsidRPr="004A1170">
        <w:rPr>
          <w:sz w:val="24"/>
          <w:szCs w:val="24"/>
          <w:vertAlign w:val="superscript"/>
        </w:rPr>
        <w:t>th</w:t>
      </w:r>
      <w:r>
        <w:rPr>
          <w:sz w:val="24"/>
          <w:szCs w:val="24"/>
        </w:rPr>
        <w:t xml:space="preserve"> of that month. Failure to pay by the 15</w:t>
      </w:r>
      <w:r w:rsidRPr="004A1170">
        <w:rPr>
          <w:sz w:val="24"/>
          <w:szCs w:val="24"/>
          <w:vertAlign w:val="superscript"/>
        </w:rPr>
        <w:t>th</w:t>
      </w:r>
      <w:r>
        <w:rPr>
          <w:sz w:val="24"/>
          <w:szCs w:val="24"/>
        </w:rPr>
        <w:t xml:space="preserve"> of the month may result in the student being dismissed from Seamark Ranch School.</w:t>
      </w:r>
    </w:p>
    <w:p w14:paraId="3C5E998C" w14:textId="77777777" w:rsidR="004A1170" w:rsidRPr="004A1170" w:rsidRDefault="004A1170" w:rsidP="004A1170">
      <w:pPr>
        <w:rPr>
          <w:sz w:val="28"/>
          <w:szCs w:val="28"/>
        </w:rPr>
      </w:pPr>
    </w:p>
    <w:p w14:paraId="247451F2" w14:textId="77777777" w:rsidR="00624B7E" w:rsidRDefault="00624B7E">
      <w:pPr>
        <w:rPr>
          <w:rFonts w:ascii="Comic Sans MS" w:hAnsi="Comic Sans MS"/>
          <w:sz w:val="24"/>
          <w:szCs w:val="24"/>
        </w:rPr>
      </w:pPr>
    </w:p>
    <w:sectPr w:rsidR="00624B7E" w:rsidSect="00624B7E">
      <w:pgSz w:w="12240" w:h="15840"/>
      <w:pgMar w:top="720" w:right="1008"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nt Clearly">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C6"/>
    <w:rsid w:val="00055BCF"/>
    <w:rsid w:val="001523E1"/>
    <w:rsid w:val="003B6709"/>
    <w:rsid w:val="003D5CC0"/>
    <w:rsid w:val="004A1170"/>
    <w:rsid w:val="00624B7E"/>
    <w:rsid w:val="006727CF"/>
    <w:rsid w:val="00714A8F"/>
    <w:rsid w:val="008B5F1F"/>
    <w:rsid w:val="009345D2"/>
    <w:rsid w:val="009D026B"/>
    <w:rsid w:val="00A23D92"/>
    <w:rsid w:val="00B123C6"/>
    <w:rsid w:val="00D80CE2"/>
    <w:rsid w:val="00D827AF"/>
    <w:rsid w:val="00DC607C"/>
    <w:rsid w:val="00EA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815D"/>
  <w15:chartTrackingRefBased/>
  <w15:docId w15:val="{32692CEC-B5C4-49AE-B85B-4487F4DB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3E1"/>
    <w:rPr>
      <w:color w:val="0563C1" w:themeColor="hyperlink"/>
      <w:u w:val="single"/>
    </w:rPr>
  </w:style>
  <w:style w:type="character" w:customStyle="1" w:styleId="text">
    <w:name w:val="text"/>
    <w:basedOn w:val="DefaultParagraphFont"/>
    <w:rsid w:val="00624B7E"/>
  </w:style>
  <w:style w:type="paragraph" w:styleId="BalloonText">
    <w:name w:val="Balloon Text"/>
    <w:basedOn w:val="Normal"/>
    <w:link w:val="BalloonTextChar"/>
    <w:uiPriority w:val="99"/>
    <w:semiHidden/>
    <w:unhideWhenUsed/>
    <w:rsid w:val="003D5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CC0"/>
    <w:rPr>
      <w:rFonts w:ascii="Segoe UI" w:hAnsi="Segoe UI" w:cs="Segoe UI"/>
      <w:sz w:val="18"/>
      <w:szCs w:val="18"/>
    </w:rPr>
  </w:style>
  <w:style w:type="table" w:styleId="TableGrid">
    <w:name w:val="Table Grid"/>
    <w:basedOn w:val="TableNormal"/>
    <w:uiPriority w:val="39"/>
    <w:rsid w:val="004A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nee@Seamarkranch.com" TargetMode="External"/><Relationship Id="rId5" Type="http://schemas.openxmlformats.org/officeDocument/2006/relationships/hyperlink" Target="mailto:Renee@Seamarkranc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C096-5FDD-4C7E-A532-B611AAAA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Pleasant</dc:creator>
  <cp:keywords/>
  <dc:description/>
  <cp:lastModifiedBy>Renee Pleasant</cp:lastModifiedBy>
  <cp:revision>16</cp:revision>
  <cp:lastPrinted>2015-04-27T14:40:00Z</cp:lastPrinted>
  <dcterms:created xsi:type="dcterms:W3CDTF">2014-01-07T19:52:00Z</dcterms:created>
  <dcterms:modified xsi:type="dcterms:W3CDTF">2015-06-02T11:29:00Z</dcterms:modified>
</cp:coreProperties>
</file>